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192"/>
        <w:gridCol w:w="1985"/>
        <w:gridCol w:w="1985"/>
        <w:gridCol w:w="1985"/>
        <w:gridCol w:w="1985"/>
      </w:tblGrid>
      <w:tr w:rsidR="00D730A3" w:rsidRPr="00686D6B" w:rsidTr="00DB6465">
        <w:trPr>
          <w:jc w:val="center"/>
        </w:trPr>
        <w:tc>
          <w:tcPr>
            <w:tcW w:w="15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30A3" w:rsidRPr="00686D6B" w:rsidRDefault="00D730A3" w:rsidP="00DB646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86D6B">
              <w:rPr>
                <w:b/>
                <w:sz w:val="24"/>
                <w:szCs w:val="24"/>
              </w:rPr>
              <w:t>Summary Plan to promote RETENTION</w:t>
            </w:r>
          </w:p>
        </w:tc>
      </w:tr>
      <w:tr w:rsidR="00D730A3" w:rsidRPr="00686D6B" w:rsidTr="00DB6465">
        <w:trPr>
          <w:trHeight w:val="934"/>
          <w:jc w:val="center"/>
        </w:trPr>
        <w:tc>
          <w:tcPr>
            <w:tcW w:w="156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  <w:r w:rsidRPr="00686D6B">
              <w:rPr>
                <w:b/>
                <w:sz w:val="24"/>
                <w:szCs w:val="24"/>
              </w:rPr>
              <w:t xml:space="preserve">Target(s):  </w:t>
            </w:r>
          </w:p>
          <w:p w:rsidR="00D730A3" w:rsidRPr="00686D6B" w:rsidRDefault="00D730A3" w:rsidP="00DB6465">
            <w:pPr>
              <w:rPr>
                <w:i/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 xml:space="preserve">State in specific terms how RETENTION should improve as a result of measures in the school’s DEIS plan </w:t>
            </w:r>
            <w:r w:rsidRPr="00686D6B">
              <w:rPr>
                <w:i/>
                <w:sz w:val="24"/>
                <w:szCs w:val="24"/>
              </w:rPr>
              <w:t>(number the targets)</w:t>
            </w:r>
          </w:p>
          <w:p w:rsidR="00D730A3" w:rsidRPr="00686D6B" w:rsidRDefault="00D730A3" w:rsidP="00D730A3">
            <w:pPr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686D6B">
              <w:rPr>
                <w:i/>
                <w:sz w:val="24"/>
                <w:szCs w:val="24"/>
              </w:rPr>
              <w:t>Retention for Junior cycle should increase from 94.2% to 100%</w:t>
            </w:r>
            <w:r>
              <w:rPr>
                <w:i/>
                <w:sz w:val="24"/>
                <w:szCs w:val="24"/>
              </w:rPr>
              <w:t xml:space="preserve"> (as required by EW</w:t>
            </w:r>
            <w:r w:rsidRPr="00686D6B">
              <w:rPr>
                <w:i/>
                <w:sz w:val="24"/>
                <w:szCs w:val="24"/>
              </w:rPr>
              <w:t>)</w:t>
            </w:r>
          </w:p>
          <w:p w:rsidR="00D730A3" w:rsidRPr="00686D6B" w:rsidRDefault="00D730A3" w:rsidP="00D730A3">
            <w:pPr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686D6B">
              <w:rPr>
                <w:i/>
                <w:sz w:val="24"/>
                <w:szCs w:val="24"/>
              </w:rPr>
              <w:t xml:space="preserve">Retention for Senior Cycle </w:t>
            </w:r>
            <w:r>
              <w:rPr>
                <w:i/>
                <w:sz w:val="24"/>
                <w:szCs w:val="24"/>
              </w:rPr>
              <w:t>should increase from 76.9% to 87.7</w:t>
            </w:r>
            <w:r w:rsidRPr="00686D6B">
              <w:rPr>
                <w:i/>
                <w:sz w:val="24"/>
                <w:szCs w:val="24"/>
              </w:rPr>
              <w:t>% (national average</w:t>
            </w:r>
            <w:r>
              <w:rPr>
                <w:i/>
                <w:sz w:val="24"/>
                <w:szCs w:val="24"/>
              </w:rPr>
              <w:t xml:space="preserve"> for whole school retention</w:t>
            </w:r>
            <w:r w:rsidRPr="00686D6B">
              <w:rPr>
                <w:i/>
                <w:sz w:val="24"/>
                <w:szCs w:val="24"/>
              </w:rPr>
              <w:t>)</w:t>
            </w:r>
          </w:p>
          <w:p w:rsidR="00D730A3" w:rsidRDefault="00D730A3" w:rsidP="00D730A3">
            <w:pPr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686D6B">
              <w:rPr>
                <w:i/>
                <w:sz w:val="24"/>
                <w:szCs w:val="24"/>
              </w:rPr>
              <w:t>The proportion of students who drop out of school during transition year will reduce from  to 16% to 5%</w:t>
            </w:r>
          </w:p>
          <w:p w:rsidR="002132D7" w:rsidRPr="00686D6B" w:rsidRDefault="002132D7" w:rsidP="00D730A3">
            <w:pPr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 develop a coordinated mentoring system of students at most risk of dropping out of school</w:t>
            </w:r>
          </w:p>
          <w:p w:rsidR="00D730A3" w:rsidRPr="00686D6B" w:rsidRDefault="00D730A3" w:rsidP="00DB6465">
            <w:pPr>
              <w:rPr>
                <w:i/>
                <w:sz w:val="24"/>
                <w:szCs w:val="24"/>
              </w:rPr>
            </w:pPr>
          </w:p>
          <w:p w:rsidR="00D730A3" w:rsidRPr="00686D6B" w:rsidRDefault="00D730A3" w:rsidP="00DB6465">
            <w:pPr>
              <w:rPr>
                <w:i/>
                <w:sz w:val="24"/>
                <w:szCs w:val="24"/>
              </w:rPr>
            </w:pPr>
          </w:p>
        </w:tc>
      </w:tr>
      <w:tr w:rsidR="00D730A3" w:rsidRPr="00686D6B" w:rsidTr="00DB6465">
        <w:trPr>
          <w:jc w:val="center"/>
        </w:trPr>
        <w:tc>
          <w:tcPr>
            <w:tcW w:w="15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686D6B" w:rsidRDefault="00D730A3" w:rsidP="00DB6465">
            <w:pPr>
              <w:pBdr>
                <w:top w:val="single" w:sz="18" w:space="1" w:color="auto"/>
              </w:pBdr>
              <w:rPr>
                <w:b/>
                <w:sz w:val="24"/>
                <w:szCs w:val="24"/>
              </w:rPr>
            </w:pPr>
            <w:r w:rsidRPr="00686D6B">
              <w:rPr>
                <w:b/>
                <w:sz w:val="24"/>
                <w:szCs w:val="24"/>
              </w:rPr>
              <w:t xml:space="preserve">Actions:  </w:t>
            </w:r>
          </w:p>
          <w:p w:rsidR="00D730A3" w:rsidRPr="00686D6B" w:rsidRDefault="00D730A3" w:rsidP="00DB6465">
            <w:pPr>
              <w:pBdr>
                <w:top w:val="single" w:sz="18" w:space="1" w:color="auto"/>
              </w:pBdr>
              <w:spacing w:after="120"/>
              <w:rPr>
                <w:i/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 xml:space="preserve">State proposed measures (both existing and new) to improve RETENTION.  </w:t>
            </w:r>
            <w:r w:rsidRPr="00686D6B">
              <w:rPr>
                <w:i/>
                <w:sz w:val="24"/>
                <w:szCs w:val="24"/>
              </w:rPr>
              <w:t>Actions should be sequenced and coordinated over the three years of the plan to achieve maximum effect</w:t>
            </w:r>
          </w:p>
        </w:tc>
      </w:tr>
      <w:tr w:rsidR="00D730A3" w:rsidRPr="00671223" w:rsidTr="00DB6465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30A3" w:rsidRPr="00671223" w:rsidRDefault="00D730A3" w:rsidP="00DB6465">
            <w:pPr>
              <w:jc w:val="center"/>
              <w:rPr>
                <w:b/>
              </w:rPr>
            </w:pPr>
            <w:r w:rsidRPr="00671223">
              <w:rPr>
                <w:b/>
              </w:rPr>
              <w:t>Measure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30A3" w:rsidRPr="00671223" w:rsidRDefault="00D730A3" w:rsidP="00DB6465">
            <w:pPr>
              <w:jc w:val="center"/>
              <w:rPr>
                <w:rFonts w:ascii="Arial Narrow" w:hAnsi="Arial Narrow"/>
              </w:rPr>
            </w:pPr>
            <w:r w:rsidRPr="00671223">
              <w:rPr>
                <w:rFonts w:ascii="Arial Narrow" w:hAnsi="Arial Narrow"/>
              </w:rPr>
              <w:t>To address</w:t>
            </w:r>
          </w:p>
          <w:p w:rsidR="00D730A3" w:rsidRPr="00671223" w:rsidRDefault="00D730A3" w:rsidP="00DB6465">
            <w:pPr>
              <w:jc w:val="center"/>
              <w:rPr>
                <w:rFonts w:ascii="Arial Narrow" w:hAnsi="Arial Narrow"/>
              </w:rPr>
            </w:pPr>
            <w:r w:rsidRPr="00671223">
              <w:rPr>
                <w:rFonts w:ascii="Arial Narrow" w:hAnsi="Arial Narrow"/>
              </w:rPr>
              <w:t>target(s) no.</w:t>
            </w:r>
            <w:r w:rsidRPr="00671223">
              <w:rPr>
                <w:rStyle w:val="FootnoteReference"/>
                <w:rFonts w:ascii="Arial Narrow" w:hAnsi="Arial Narrow"/>
              </w:rPr>
              <w:footnoteReference w:customMarkFollows="1" w:id="1"/>
              <w:sym w:font="Symbol" w:char="F02A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30A3" w:rsidRPr="00671223" w:rsidRDefault="00D730A3" w:rsidP="00DB6465">
            <w:pPr>
              <w:jc w:val="center"/>
              <w:rPr>
                <w:b/>
              </w:rPr>
            </w:pPr>
            <w:r w:rsidRPr="00671223">
              <w:rPr>
                <w:b/>
              </w:rPr>
              <w:t>Who?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30A3" w:rsidRPr="00671223" w:rsidRDefault="00D730A3" w:rsidP="00DB6465">
            <w:pPr>
              <w:jc w:val="center"/>
              <w:rPr>
                <w:b/>
              </w:rPr>
            </w:pPr>
            <w:r w:rsidRPr="00671223">
              <w:rPr>
                <w:b/>
              </w:rPr>
              <w:t>Lead responsibility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30A3" w:rsidRPr="00671223" w:rsidRDefault="00D730A3" w:rsidP="00DB6465">
            <w:pPr>
              <w:jc w:val="center"/>
              <w:rPr>
                <w:b/>
              </w:rPr>
            </w:pPr>
            <w:r w:rsidRPr="00671223">
              <w:rPr>
                <w:b/>
              </w:rPr>
              <w:t>When?</w:t>
            </w:r>
          </w:p>
          <w:p w:rsidR="00D730A3" w:rsidRDefault="00D730A3" w:rsidP="00DB64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30A3" w:rsidRPr="00671223" w:rsidRDefault="00D730A3" w:rsidP="00DB6465">
            <w:pPr>
              <w:jc w:val="center"/>
              <w:rPr>
                <w:b/>
              </w:rPr>
            </w:pPr>
            <w:r w:rsidRPr="00671223">
              <w:rPr>
                <w:b/>
              </w:rPr>
              <w:t>Resources?</w:t>
            </w:r>
          </w:p>
        </w:tc>
      </w:tr>
      <w:tr w:rsidR="00D730A3" w:rsidRPr="00686D6B" w:rsidTr="00DB6465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132D7" w:rsidRDefault="00D730A3" w:rsidP="00DB6465">
            <w:pPr>
              <w:rPr>
                <w:sz w:val="24"/>
                <w:szCs w:val="24"/>
              </w:rPr>
            </w:pPr>
            <w:r w:rsidRPr="002132D7">
              <w:rPr>
                <w:sz w:val="24"/>
                <w:szCs w:val="24"/>
              </w:rPr>
              <w:t>Identify young people who are most at risk of early school leaving, using criteria such as attendance, challenging behaviour, commitment, poor academic levels, family circumstances, family history.</w:t>
            </w:r>
          </w:p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131ED0" w:rsidRDefault="00D730A3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2D7">
              <w:rPr>
                <w:sz w:val="24"/>
                <w:szCs w:val="24"/>
              </w:rPr>
              <w:t>,2,3,4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7" w:rsidRDefault="002132D7" w:rsidP="002132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Principal</w:t>
            </w:r>
          </w:p>
          <w:p w:rsidR="00D730A3" w:rsidRDefault="002132D7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Deputy Principal</w:t>
            </w:r>
          </w:p>
          <w:p w:rsidR="00D730A3" w:rsidRDefault="00D730A3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Vice Principal</w:t>
            </w:r>
          </w:p>
          <w:p w:rsidR="00D730A3" w:rsidRDefault="00D730A3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Year Heads</w:t>
            </w:r>
          </w:p>
          <w:p w:rsidR="00D730A3" w:rsidRDefault="00D730A3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HSCL</w:t>
            </w:r>
          </w:p>
          <w:p w:rsidR="00D730A3" w:rsidRPr="00686D6B" w:rsidRDefault="00D730A3" w:rsidP="00DB6465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686D6B" w:rsidRDefault="002132D7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AP1 Post Holder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Pr="00686D6B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 xml:space="preserve">Review early academic year with </w:t>
            </w:r>
            <w:r>
              <w:rPr>
                <w:sz w:val="24"/>
                <w:szCs w:val="24"/>
              </w:rPr>
              <w:t xml:space="preserve">DEIS Support </w:t>
            </w:r>
            <w:r w:rsidRPr="00686D6B">
              <w:rPr>
                <w:sz w:val="24"/>
                <w:szCs w:val="24"/>
              </w:rPr>
              <w:t>team and again at the end of the academic year.</w:t>
            </w:r>
          </w:p>
          <w:p w:rsidR="00D730A3" w:rsidRPr="00686D6B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>(Twice yearly)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Pr="00686D6B" w:rsidRDefault="002132D7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DEIS</w:t>
            </w:r>
            <w:r w:rsidR="00D730A3">
              <w:rPr>
                <w:sz w:val="24"/>
                <w:szCs w:val="24"/>
              </w:rPr>
              <w:t xml:space="preserve"> Support</w:t>
            </w:r>
            <w:r w:rsidR="00D730A3" w:rsidRPr="00686D6B">
              <w:rPr>
                <w:sz w:val="24"/>
                <w:szCs w:val="24"/>
              </w:rPr>
              <w:t xml:space="preserve"> Team</w:t>
            </w:r>
          </w:p>
        </w:tc>
      </w:tr>
      <w:tr w:rsidR="006D4072" w:rsidRPr="00686D6B" w:rsidTr="00DB6465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2" w:rsidRPr="006D4072" w:rsidRDefault="006D4072" w:rsidP="006D4072">
            <w:pPr>
              <w:rPr>
                <w:sz w:val="24"/>
                <w:szCs w:val="24"/>
              </w:rPr>
            </w:pPr>
            <w:r w:rsidRPr="002132D7">
              <w:rPr>
                <w:b/>
                <w:sz w:val="24"/>
                <w:szCs w:val="24"/>
              </w:rPr>
              <w:t>Staff Mentoring/Coaching System with students</w:t>
            </w:r>
            <w:r w:rsidRPr="006D4072">
              <w:rPr>
                <w:sz w:val="24"/>
                <w:szCs w:val="24"/>
              </w:rPr>
              <w:t xml:space="preserve"> most at risk which is a solution-based framework  to put the following in place:</w:t>
            </w:r>
          </w:p>
          <w:p w:rsidR="006D4072" w:rsidRPr="006D4072" w:rsidRDefault="006D4072" w:rsidP="006D407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D4072">
              <w:rPr>
                <w:sz w:val="24"/>
                <w:szCs w:val="24"/>
              </w:rPr>
              <w:t>Identify desired outcomes</w:t>
            </w:r>
          </w:p>
          <w:p w:rsidR="006D4072" w:rsidRPr="006D4072" w:rsidRDefault="006D4072" w:rsidP="006D407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D4072">
              <w:rPr>
                <w:sz w:val="24"/>
                <w:szCs w:val="24"/>
              </w:rPr>
              <w:t>Delineate specific goals</w:t>
            </w:r>
          </w:p>
          <w:p w:rsidR="006D4072" w:rsidRPr="006D4072" w:rsidRDefault="006D4072" w:rsidP="006D407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D4072">
              <w:rPr>
                <w:sz w:val="24"/>
                <w:szCs w:val="24"/>
              </w:rPr>
              <w:t>Enhance motivation</w:t>
            </w:r>
          </w:p>
          <w:p w:rsidR="006D4072" w:rsidRPr="006D4072" w:rsidRDefault="006D4072" w:rsidP="006D407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D4072">
              <w:rPr>
                <w:sz w:val="24"/>
                <w:szCs w:val="24"/>
              </w:rPr>
              <w:t>Identify resources and formulating action plans</w:t>
            </w:r>
          </w:p>
          <w:p w:rsidR="006D4072" w:rsidRPr="006D4072" w:rsidRDefault="006D4072" w:rsidP="006D407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D4072">
              <w:rPr>
                <w:sz w:val="24"/>
                <w:szCs w:val="24"/>
              </w:rPr>
              <w:t>Monitoring and evaluating progress</w:t>
            </w:r>
          </w:p>
          <w:p w:rsidR="006D4072" w:rsidRPr="006D4072" w:rsidRDefault="006D4072" w:rsidP="006D407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D4072">
              <w:rPr>
                <w:sz w:val="24"/>
                <w:szCs w:val="24"/>
              </w:rPr>
              <w:t>Modifying action plan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2" w:rsidRDefault="002132D7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  <w:p w:rsidR="006D4072" w:rsidRDefault="006D4072" w:rsidP="00DB64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2" w:rsidRDefault="006D4072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Principal</w:t>
            </w:r>
          </w:p>
          <w:p w:rsidR="006D4072" w:rsidRDefault="006D4072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Volunteer Staff</w:t>
            </w:r>
          </w:p>
          <w:p w:rsidR="006D4072" w:rsidRDefault="006D4072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Year Heads</w:t>
            </w:r>
          </w:p>
          <w:p w:rsidR="006D4072" w:rsidRDefault="006D4072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Tutors</w:t>
            </w:r>
          </w:p>
          <w:p w:rsidR="006D4072" w:rsidRDefault="006D4072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HSCL</w:t>
            </w:r>
          </w:p>
          <w:p w:rsidR="006D4072" w:rsidRDefault="006D4072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Parents/</w:t>
            </w:r>
          </w:p>
          <w:p w:rsidR="006D4072" w:rsidRDefault="006D4072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Guardians</w:t>
            </w:r>
          </w:p>
          <w:p w:rsidR="006D4072" w:rsidRDefault="006D4072" w:rsidP="00DB6465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72" w:rsidRDefault="006D4072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AP1 Post Holder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72" w:rsidRDefault="006D4072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check-ins</w:t>
            </w:r>
            <w:r w:rsidR="002132D7">
              <w:rPr>
                <w:sz w:val="24"/>
                <w:szCs w:val="24"/>
              </w:rPr>
              <w:t>;</w:t>
            </w:r>
          </w:p>
          <w:p w:rsidR="006D4072" w:rsidRDefault="006D4072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period every two months</w:t>
            </w:r>
            <w:r w:rsidR="002132D7">
              <w:rPr>
                <w:sz w:val="24"/>
                <w:szCs w:val="24"/>
              </w:rPr>
              <w:t>;</w:t>
            </w:r>
          </w:p>
          <w:p w:rsidR="006D4072" w:rsidRPr="00686D6B" w:rsidRDefault="006D4072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by AP1 every </w:t>
            </w:r>
            <w:r w:rsidR="002132D7">
              <w:rPr>
                <w:sz w:val="24"/>
                <w:szCs w:val="24"/>
              </w:rPr>
              <w:t>term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72" w:rsidRDefault="006D4072" w:rsidP="00DB6465">
            <w:pPr>
              <w:rPr>
                <w:sz w:val="24"/>
                <w:szCs w:val="24"/>
              </w:rPr>
            </w:pPr>
          </w:p>
        </w:tc>
      </w:tr>
      <w:tr w:rsidR="002132D7" w:rsidRPr="00686D6B" w:rsidTr="00DB6465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7" w:rsidRPr="002132D7" w:rsidRDefault="002132D7" w:rsidP="006D4072">
            <w:pPr>
              <w:rPr>
                <w:sz w:val="24"/>
                <w:szCs w:val="24"/>
              </w:rPr>
            </w:pPr>
            <w:r w:rsidRPr="002132D7">
              <w:rPr>
                <w:sz w:val="24"/>
                <w:szCs w:val="24"/>
              </w:rPr>
              <w:t xml:space="preserve">Identify patterns of attendance on certain days and times and put measures in place to address the issues.  This will be conducted through regular monitoring and student surveys.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7" w:rsidRDefault="002132D7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7" w:rsidRDefault="002132D7" w:rsidP="00DB6465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7" w:rsidRDefault="002132D7" w:rsidP="00DB6465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2D7" w:rsidRDefault="002132D7" w:rsidP="00DB64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2D7" w:rsidRDefault="002132D7" w:rsidP="00DB6465">
            <w:pPr>
              <w:rPr>
                <w:sz w:val="24"/>
                <w:szCs w:val="24"/>
              </w:rPr>
            </w:pPr>
          </w:p>
        </w:tc>
      </w:tr>
      <w:tr w:rsidR="00D730A3" w:rsidRPr="00686D6B" w:rsidTr="00DB6465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132D7" w:rsidRDefault="00D730A3" w:rsidP="00DB6465">
            <w:pPr>
              <w:rPr>
                <w:sz w:val="24"/>
                <w:szCs w:val="24"/>
              </w:rPr>
            </w:pPr>
            <w:r w:rsidRPr="002132D7">
              <w:rPr>
                <w:sz w:val="24"/>
                <w:szCs w:val="24"/>
              </w:rPr>
              <w:lastRenderedPageBreak/>
              <w:t xml:space="preserve">The continued implementation of after school supports for </w:t>
            </w:r>
            <w:r w:rsidRPr="002132D7">
              <w:rPr>
                <w:sz w:val="24"/>
                <w:szCs w:val="24"/>
                <w:u w:val="single"/>
              </w:rPr>
              <w:t>SCP target group</w:t>
            </w:r>
            <w:r w:rsidRPr="002132D7">
              <w:rPr>
                <w:sz w:val="24"/>
                <w:szCs w:val="24"/>
              </w:rPr>
              <w:t xml:space="preserve"> eg homework clubs, grinds, one on one supports.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686D6B" w:rsidRDefault="00D730A3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2D7">
              <w:rPr>
                <w:sz w:val="24"/>
                <w:szCs w:val="24"/>
              </w:rPr>
              <w:t>,2,3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686D6B" w:rsidRDefault="00D730A3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SCP Project Workers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686D6B" w:rsidRDefault="00D730A3" w:rsidP="00DB64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SCP Co-ordinator</w:t>
            </w:r>
          </w:p>
          <w:p w:rsidR="00D730A3" w:rsidRPr="00686D6B" w:rsidRDefault="00D730A3" w:rsidP="00DB6465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Pr="00686D6B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 xml:space="preserve">Reviews </w:t>
            </w:r>
            <w:r>
              <w:rPr>
                <w:sz w:val="24"/>
                <w:szCs w:val="24"/>
              </w:rPr>
              <w:t xml:space="preserve">will be </w:t>
            </w:r>
            <w:r w:rsidRPr="00686D6B">
              <w:rPr>
                <w:sz w:val="24"/>
                <w:szCs w:val="24"/>
              </w:rPr>
              <w:t xml:space="preserve">carried out at the end of each term with a focus on </w:t>
            </w:r>
            <w:r>
              <w:rPr>
                <w:sz w:val="24"/>
                <w:szCs w:val="24"/>
              </w:rPr>
              <w:t xml:space="preserve">achievability, </w:t>
            </w:r>
            <w:r w:rsidRPr="00686D6B">
              <w:rPr>
                <w:sz w:val="24"/>
                <w:szCs w:val="24"/>
              </w:rPr>
              <w:t>progression and</w:t>
            </w:r>
            <w:r>
              <w:rPr>
                <w:sz w:val="24"/>
                <w:szCs w:val="24"/>
              </w:rPr>
              <w:t xml:space="preserve"> </w:t>
            </w:r>
            <w:r w:rsidRPr="00686D6B">
              <w:rPr>
                <w:sz w:val="24"/>
                <w:szCs w:val="24"/>
              </w:rPr>
              <w:t xml:space="preserve"> sustainability.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Pr="00686D6B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 xml:space="preserve">Location, staff, contact with local agencies, </w:t>
            </w:r>
            <w:r>
              <w:rPr>
                <w:sz w:val="24"/>
                <w:szCs w:val="24"/>
              </w:rPr>
              <w:t xml:space="preserve">local </w:t>
            </w:r>
            <w:r w:rsidRPr="00686D6B">
              <w:rPr>
                <w:sz w:val="24"/>
                <w:szCs w:val="24"/>
              </w:rPr>
              <w:t>training, curriculum materials.</w:t>
            </w:r>
          </w:p>
        </w:tc>
      </w:tr>
      <w:tr w:rsidR="00D730A3" w:rsidRPr="002F69A2" w:rsidTr="00DB6465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132D7" w:rsidRDefault="00D730A3" w:rsidP="00DB6465">
            <w:pPr>
              <w:rPr>
                <w:sz w:val="24"/>
                <w:szCs w:val="24"/>
              </w:rPr>
            </w:pPr>
          </w:p>
          <w:p w:rsidR="00D730A3" w:rsidRPr="002132D7" w:rsidRDefault="00D730A3" w:rsidP="00DB6465">
            <w:pPr>
              <w:rPr>
                <w:sz w:val="24"/>
                <w:szCs w:val="24"/>
              </w:rPr>
            </w:pPr>
            <w:r w:rsidRPr="002132D7">
              <w:rPr>
                <w:sz w:val="24"/>
                <w:szCs w:val="24"/>
              </w:rPr>
              <w:t>The continued</w:t>
            </w:r>
            <w:r w:rsidR="002132D7" w:rsidRPr="002132D7">
              <w:rPr>
                <w:sz w:val="24"/>
                <w:szCs w:val="24"/>
              </w:rPr>
              <w:t xml:space="preserve"> implementation of after school </w:t>
            </w:r>
            <w:r w:rsidRPr="002132D7">
              <w:rPr>
                <w:sz w:val="24"/>
                <w:szCs w:val="24"/>
              </w:rPr>
              <w:t>supports e</w:t>
            </w:r>
            <w:r w:rsidR="002132D7" w:rsidRPr="002132D7">
              <w:rPr>
                <w:sz w:val="24"/>
                <w:szCs w:val="24"/>
              </w:rPr>
              <w:t>.</w:t>
            </w:r>
            <w:r w:rsidRPr="002132D7">
              <w:rPr>
                <w:sz w:val="24"/>
                <w:szCs w:val="24"/>
              </w:rPr>
              <w:t>g</w:t>
            </w:r>
            <w:r w:rsidR="002132D7" w:rsidRPr="002132D7">
              <w:rPr>
                <w:sz w:val="24"/>
                <w:szCs w:val="24"/>
              </w:rPr>
              <w:t>.</w:t>
            </w:r>
            <w:r w:rsidRPr="002132D7">
              <w:rPr>
                <w:sz w:val="24"/>
                <w:szCs w:val="24"/>
              </w:rPr>
              <w:t xml:space="preserve"> After school Activities by teachers, PE team, </w:t>
            </w:r>
            <w:r w:rsidR="002132D7" w:rsidRPr="002132D7">
              <w:rPr>
                <w:sz w:val="24"/>
                <w:szCs w:val="24"/>
              </w:rPr>
              <w:t xml:space="preserve">Music Generation, Song-writing workshops, </w:t>
            </w:r>
            <w:r w:rsidRPr="002132D7">
              <w:rPr>
                <w:sz w:val="24"/>
                <w:szCs w:val="24"/>
              </w:rPr>
              <w:t xml:space="preserve">school Staff, and SCP </w:t>
            </w:r>
          </w:p>
          <w:p w:rsidR="00D730A3" w:rsidRPr="002132D7" w:rsidRDefault="00D730A3" w:rsidP="00DB6465">
            <w:pPr>
              <w:rPr>
                <w:sz w:val="24"/>
                <w:szCs w:val="24"/>
              </w:rPr>
            </w:pPr>
          </w:p>
          <w:p w:rsidR="00D730A3" w:rsidRPr="002132D7" w:rsidRDefault="00D730A3" w:rsidP="00DB6465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1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2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3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i/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i/>
                <w:sz w:val="24"/>
                <w:szCs w:val="24"/>
              </w:rPr>
            </w:pPr>
            <w:r w:rsidRPr="002F69A2">
              <w:rPr>
                <w:i/>
                <w:sz w:val="24"/>
                <w:szCs w:val="24"/>
              </w:rPr>
              <w:t>School Staff</w:t>
            </w:r>
          </w:p>
          <w:p w:rsidR="00D730A3" w:rsidRPr="002F69A2" w:rsidRDefault="00D730A3" w:rsidP="00DB6465">
            <w:pPr>
              <w:rPr>
                <w:i/>
                <w:sz w:val="24"/>
                <w:szCs w:val="24"/>
              </w:rPr>
            </w:pPr>
            <w:r w:rsidRPr="002F69A2">
              <w:rPr>
                <w:i/>
                <w:sz w:val="24"/>
                <w:szCs w:val="24"/>
              </w:rPr>
              <w:t>SCP Team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i/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i/>
                <w:sz w:val="24"/>
                <w:szCs w:val="24"/>
              </w:rPr>
            </w:pPr>
            <w:r w:rsidRPr="002F69A2">
              <w:rPr>
                <w:i/>
                <w:sz w:val="24"/>
                <w:szCs w:val="24"/>
              </w:rPr>
              <w:t>SCP co-ordinator (for SCP interventions)</w:t>
            </w:r>
          </w:p>
          <w:p w:rsidR="00D730A3" w:rsidRPr="002F69A2" w:rsidRDefault="00D730A3" w:rsidP="00DB6465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Reviews will be yearly and carried out by SCP staff and key personnel St Kilian’s.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Location, trained staff, links with local agencies.</w:t>
            </w:r>
          </w:p>
        </w:tc>
      </w:tr>
      <w:tr w:rsidR="00D730A3" w:rsidRPr="00686D6B" w:rsidTr="00DB6465">
        <w:trPr>
          <w:trHeight w:val="1720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132D7" w:rsidRDefault="00D730A3" w:rsidP="00DB6465"/>
          <w:p w:rsidR="00D730A3" w:rsidRPr="002132D7" w:rsidRDefault="00D730A3" w:rsidP="00DB6465">
            <w:r w:rsidRPr="002132D7">
              <w:rPr>
                <w:sz w:val="24"/>
                <w:szCs w:val="24"/>
              </w:rPr>
              <w:t>The continued implementation of “whole school in school” supports, such as Study Skills, Personal Development Programmes for Transition years, literacy and numeracy interventions, first year transfer programmes.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/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1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2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3</w:t>
            </w:r>
          </w:p>
          <w:p w:rsidR="00D730A3" w:rsidRPr="002F69A2" w:rsidRDefault="00D730A3" w:rsidP="00DB64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SCP Team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Resource Team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Ty Co-ordinator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i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Jane Sharpe</w:t>
            </w:r>
          </w:p>
          <w:p w:rsidR="00D730A3" w:rsidRPr="002F69A2" w:rsidRDefault="00D730A3" w:rsidP="00DB6465">
            <w:pPr>
              <w:rPr>
                <w:i/>
              </w:rPr>
            </w:pPr>
            <w:r w:rsidRPr="002F69A2">
              <w:rPr>
                <w:sz w:val="24"/>
                <w:szCs w:val="24"/>
              </w:rPr>
              <w:t>Nuala Farrell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Pr="002F69A2" w:rsidRDefault="00D730A3" w:rsidP="00DB6465"/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Reviews will be yearly and carried out by SCP staff and key personnel St Kilian’s.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Default="00D730A3" w:rsidP="00DB6465">
            <w:pPr>
              <w:rPr>
                <w:sz w:val="24"/>
                <w:szCs w:val="24"/>
              </w:rPr>
            </w:pPr>
          </w:p>
          <w:p w:rsidR="00D730A3" w:rsidRPr="00686D6B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>Location, trained staff, links with local agencies.</w:t>
            </w:r>
          </w:p>
        </w:tc>
      </w:tr>
      <w:tr w:rsidR="00D730A3" w:rsidTr="00DB6465">
        <w:trPr>
          <w:trHeight w:val="720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b/>
              </w:rPr>
            </w:pPr>
          </w:p>
          <w:p w:rsidR="00D730A3" w:rsidRPr="00581D58" w:rsidRDefault="00D730A3" w:rsidP="00DB6465">
            <w:r w:rsidRPr="00581D58">
              <w:rPr>
                <w:sz w:val="24"/>
                <w:szCs w:val="24"/>
              </w:rPr>
              <w:t>The continued implementation of</w:t>
            </w:r>
            <w:r w:rsidRPr="00581D58">
              <w:t xml:space="preserve"> </w:t>
            </w:r>
            <w:r w:rsidRPr="00581D58">
              <w:rPr>
                <w:sz w:val="24"/>
                <w:szCs w:val="24"/>
              </w:rPr>
              <w:t xml:space="preserve">intensive in school </w:t>
            </w:r>
            <w:r w:rsidR="00581D58">
              <w:rPr>
                <w:sz w:val="24"/>
                <w:szCs w:val="24"/>
              </w:rPr>
              <w:t>supports e.g.</w:t>
            </w:r>
            <w:r w:rsidRPr="00581D58">
              <w:rPr>
                <w:sz w:val="24"/>
                <w:szCs w:val="24"/>
              </w:rPr>
              <w:t xml:space="preserve"> grinds, one on one supports, literacy and numeracy supports, resource.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/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1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2</w:t>
            </w:r>
          </w:p>
          <w:p w:rsidR="00D730A3" w:rsidRPr="002F69A2" w:rsidRDefault="00D730A3" w:rsidP="00DB6465"/>
          <w:p w:rsidR="00D730A3" w:rsidRPr="002F69A2" w:rsidRDefault="00D730A3" w:rsidP="00DB64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i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SCP Team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Resource Team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Ty Co-ordinator</w:t>
            </w:r>
          </w:p>
          <w:p w:rsidR="00D730A3" w:rsidRPr="002F69A2" w:rsidRDefault="00D730A3" w:rsidP="00DB6465">
            <w:pPr>
              <w:rPr>
                <w:i/>
              </w:rPr>
            </w:pPr>
            <w:r w:rsidRPr="002F69A2">
              <w:rPr>
                <w:sz w:val="24"/>
                <w:szCs w:val="24"/>
              </w:rPr>
              <w:t>Chaplain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i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Jane Sharpe</w:t>
            </w:r>
          </w:p>
          <w:p w:rsidR="00D730A3" w:rsidRPr="002F69A2" w:rsidRDefault="00D730A3" w:rsidP="00DB6465">
            <w:pPr>
              <w:rPr>
                <w:i/>
              </w:rPr>
            </w:pPr>
            <w:r w:rsidRPr="002F69A2">
              <w:rPr>
                <w:sz w:val="24"/>
                <w:szCs w:val="24"/>
              </w:rPr>
              <w:t>Nuala Farrell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Pr="002F69A2" w:rsidRDefault="00D730A3" w:rsidP="00DB6465"/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Review throughout the intervention and on completion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A3" w:rsidRDefault="00D730A3" w:rsidP="00DB6465"/>
          <w:p w:rsidR="00D730A3" w:rsidRDefault="00D730A3" w:rsidP="00DB6465">
            <w:r w:rsidRPr="00686D6B">
              <w:rPr>
                <w:sz w:val="24"/>
                <w:szCs w:val="24"/>
              </w:rPr>
              <w:t>Location, trained staff, links with local agencies.</w:t>
            </w:r>
          </w:p>
        </w:tc>
      </w:tr>
      <w:tr w:rsidR="00D730A3" w:rsidTr="00DB6465">
        <w:trPr>
          <w:trHeight w:val="272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581D58" w:rsidRDefault="00D730A3" w:rsidP="00DB6465">
            <w:pPr>
              <w:rPr>
                <w:sz w:val="24"/>
                <w:szCs w:val="24"/>
              </w:rPr>
            </w:pPr>
            <w:r w:rsidRPr="00581D58">
              <w:rPr>
                <w:sz w:val="24"/>
                <w:szCs w:val="24"/>
              </w:rPr>
              <w:t xml:space="preserve">The </w:t>
            </w:r>
            <w:r w:rsidR="002132D7" w:rsidRPr="00581D58">
              <w:rPr>
                <w:sz w:val="24"/>
                <w:szCs w:val="24"/>
              </w:rPr>
              <w:t>continued and further develop</w:t>
            </w:r>
            <w:r w:rsidRPr="00581D58">
              <w:rPr>
                <w:sz w:val="24"/>
                <w:szCs w:val="24"/>
              </w:rPr>
              <w:t>ment of</w:t>
            </w:r>
            <w:r w:rsidRPr="00581D58">
              <w:t xml:space="preserve"> </w:t>
            </w:r>
            <w:r w:rsidRPr="00581D58">
              <w:rPr>
                <w:sz w:val="24"/>
                <w:szCs w:val="24"/>
              </w:rPr>
              <w:t>re-integration strategies for out of school/suspended students including SCP intervention, HSCL home visits, attendance tracking.</w:t>
            </w:r>
          </w:p>
          <w:p w:rsidR="00D730A3" w:rsidRPr="002F69A2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1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2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3</w:t>
            </w:r>
          </w:p>
          <w:p w:rsidR="00D730A3" w:rsidRPr="002F69A2" w:rsidRDefault="00D730A3" w:rsidP="00DB64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SCP Team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Principal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Vice Principal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HSCL</w:t>
            </w:r>
          </w:p>
          <w:p w:rsidR="00D730A3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Chaplain</w:t>
            </w:r>
          </w:p>
          <w:p w:rsidR="002132D7" w:rsidRDefault="002132D7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 Team</w:t>
            </w:r>
          </w:p>
          <w:p w:rsidR="002132D7" w:rsidRPr="002F69A2" w:rsidRDefault="002132D7" w:rsidP="00DB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Officer</w:t>
            </w: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  <w:p w:rsidR="00D730A3" w:rsidRPr="002F69A2" w:rsidRDefault="00D730A3" w:rsidP="00DB64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30A3" w:rsidRPr="002F69A2" w:rsidRDefault="00D730A3" w:rsidP="00DB6465">
            <w:pPr>
              <w:rPr>
                <w:i/>
              </w:rPr>
            </w:pPr>
          </w:p>
          <w:p w:rsidR="00D730A3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Principal</w:t>
            </w:r>
          </w:p>
          <w:p w:rsidR="002132D7" w:rsidRPr="002F69A2" w:rsidRDefault="002132D7" w:rsidP="00DB64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730A3" w:rsidRPr="002F69A2" w:rsidRDefault="00D730A3" w:rsidP="00DB6465"/>
          <w:p w:rsidR="00D730A3" w:rsidRPr="002F69A2" w:rsidRDefault="00D730A3" w:rsidP="00DB6465">
            <w:pPr>
              <w:rPr>
                <w:sz w:val="24"/>
                <w:szCs w:val="24"/>
              </w:rPr>
            </w:pPr>
            <w:r w:rsidRPr="002F69A2">
              <w:rPr>
                <w:sz w:val="24"/>
                <w:szCs w:val="24"/>
              </w:rPr>
              <w:t>Review on returning to school and monitor progress.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730A3" w:rsidRDefault="00D730A3" w:rsidP="00DB6465"/>
          <w:p w:rsidR="00D730A3" w:rsidRDefault="00D730A3" w:rsidP="00DB6465">
            <w:r w:rsidRPr="00686D6B">
              <w:rPr>
                <w:sz w:val="24"/>
                <w:szCs w:val="24"/>
              </w:rPr>
              <w:t>Location, trained staff, links with local agencies.</w:t>
            </w:r>
          </w:p>
        </w:tc>
      </w:tr>
      <w:tr w:rsidR="00D730A3" w:rsidTr="00DB6465">
        <w:trPr>
          <w:jc w:val="center"/>
        </w:trPr>
        <w:tc>
          <w:tcPr>
            <w:tcW w:w="1561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30A3" w:rsidRPr="00686D6B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b/>
                <w:sz w:val="24"/>
                <w:szCs w:val="24"/>
              </w:rPr>
              <w:t>Monitoring:</w:t>
            </w:r>
          </w:p>
          <w:p w:rsidR="00D730A3" w:rsidRPr="00686D6B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>State how progress will be monitored and at what intervals (monthly/ termly/annually...)  over the three years</w:t>
            </w:r>
          </w:p>
          <w:p w:rsidR="00D730A3" w:rsidRPr="00686D6B" w:rsidRDefault="00D730A3" w:rsidP="00DB6465">
            <w:pPr>
              <w:rPr>
                <w:sz w:val="24"/>
                <w:szCs w:val="24"/>
              </w:rPr>
            </w:pPr>
          </w:p>
          <w:p w:rsidR="00D730A3" w:rsidRPr="00686D6B" w:rsidRDefault="00D730A3" w:rsidP="00D730A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6D6B">
              <w:rPr>
                <w:b/>
                <w:sz w:val="24"/>
                <w:szCs w:val="24"/>
              </w:rPr>
              <w:t xml:space="preserve">All </w:t>
            </w:r>
            <w:r>
              <w:rPr>
                <w:b/>
                <w:sz w:val="24"/>
                <w:szCs w:val="24"/>
              </w:rPr>
              <w:t xml:space="preserve">SCP </w:t>
            </w:r>
            <w:r w:rsidRPr="00686D6B">
              <w:rPr>
                <w:b/>
                <w:sz w:val="24"/>
                <w:szCs w:val="24"/>
              </w:rPr>
              <w:t>projects and interventions are proposed by staff with rationale and projected outcome stated.  On co</w:t>
            </w:r>
            <w:r>
              <w:rPr>
                <w:b/>
                <w:sz w:val="24"/>
                <w:szCs w:val="24"/>
              </w:rPr>
              <w:t xml:space="preserve">mpletion of SCP intervention </w:t>
            </w:r>
            <w:r w:rsidRPr="00686D6B">
              <w:rPr>
                <w:b/>
                <w:sz w:val="24"/>
                <w:szCs w:val="24"/>
              </w:rPr>
              <w:t xml:space="preserve">outcomes </w:t>
            </w:r>
            <w:r>
              <w:rPr>
                <w:b/>
                <w:sz w:val="24"/>
                <w:szCs w:val="24"/>
              </w:rPr>
              <w:t xml:space="preserve">are measured and the </w:t>
            </w:r>
            <w:r w:rsidRPr="00686D6B">
              <w:rPr>
                <w:b/>
                <w:sz w:val="24"/>
                <w:szCs w:val="24"/>
              </w:rPr>
              <w:t xml:space="preserve">programme </w:t>
            </w:r>
            <w:r>
              <w:rPr>
                <w:b/>
                <w:sz w:val="24"/>
                <w:szCs w:val="24"/>
              </w:rPr>
              <w:t>reviewed under sustainability</w:t>
            </w:r>
            <w:r w:rsidRPr="00686D6B">
              <w:rPr>
                <w:b/>
                <w:sz w:val="24"/>
                <w:szCs w:val="24"/>
              </w:rPr>
              <w:t xml:space="preserve"> and </w:t>
            </w:r>
            <w:r>
              <w:rPr>
                <w:b/>
                <w:sz w:val="24"/>
                <w:szCs w:val="24"/>
              </w:rPr>
              <w:t>progression (interval varies based on intervention).</w:t>
            </w:r>
            <w:r w:rsidRPr="00686D6B">
              <w:rPr>
                <w:b/>
                <w:sz w:val="24"/>
                <w:szCs w:val="24"/>
              </w:rPr>
              <w:t xml:space="preserve">  </w:t>
            </w:r>
          </w:p>
          <w:p w:rsidR="00D730A3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686D6B" w:rsidRDefault="00D730A3" w:rsidP="00D730A3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Intensive supports will be reviewed twice termly with HSCL</w:t>
            </w:r>
          </w:p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686D6B" w:rsidRDefault="00D730A3" w:rsidP="00D730A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Attendance of activities</w:t>
            </w:r>
            <w:r w:rsidRPr="0068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are</w:t>
            </w:r>
            <w:r w:rsidRPr="00686D6B">
              <w:rPr>
                <w:b/>
                <w:sz w:val="24"/>
                <w:szCs w:val="24"/>
              </w:rPr>
              <w:t xml:space="preserve"> monitored weekly.  </w:t>
            </w:r>
          </w:p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686D6B" w:rsidRDefault="00D730A3" w:rsidP="00D730A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 annual review of all SCP </w:t>
            </w:r>
            <w:r w:rsidRPr="00686D6B">
              <w:rPr>
                <w:b/>
                <w:sz w:val="24"/>
                <w:szCs w:val="24"/>
              </w:rPr>
              <w:t>project</w:t>
            </w:r>
            <w:r>
              <w:rPr>
                <w:b/>
                <w:sz w:val="24"/>
                <w:szCs w:val="24"/>
              </w:rPr>
              <w:t>s</w:t>
            </w:r>
            <w:r w:rsidRPr="00686D6B">
              <w:rPr>
                <w:b/>
                <w:sz w:val="24"/>
                <w:szCs w:val="24"/>
              </w:rPr>
              <w:t xml:space="preserve"> takes place at the end of the academic year with SCP staff and Committee.</w:t>
            </w:r>
          </w:p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686D6B" w:rsidRDefault="00D730A3" w:rsidP="00D730A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6D6B">
              <w:rPr>
                <w:b/>
                <w:sz w:val="24"/>
                <w:szCs w:val="24"/>
              </w:rPr>
              <w:t xml:space="preserve">Review of attendance figures of </w:t>
            </w:r>
            <w:r>
              <w:rPr>
                <w:b/>
                <w:sz w:val="24"/>
                <w:szCs w:val="24"/>
              </w:rPr>
              <w:t xml:space="preserve">NEWB referred </w:t>
            </w:r>
            <w:r w:rsidRPr="00686D6B">
              <w:rPr>
                <w:b/>
                <w:sz w:val="24"/>
                <w:szCs w:val="24"/>
              </w:rPr>
              <w:t>target group attending interventions takes place monthly with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6D6B">
              <w:rPr>
                <w:b/>
                <w:sz w:val="24"/>
                <w:szCs w:val="24"/>
              </w:rPr>
              <w:t xml:space="preserve"> HSCL, EWO</w:t>
            </w:r>
            <w:r>
              <w:rPr>
                <w:b/>
                <w:sz w:val="24"/>
                <w:szCs w:val="24"/>
              </w:rPr>
              <w:t>, Principal</w:t>
            </w:r>
            <w:r w:rsidRPr="00686D6B">
              <w:rPr>
                <w:b/>
                <w:sz w:val="24"/>
                <w:szCs w:val="24"/>
              </w:rPr>
              <w:t xml:space="preserve"> and SCP.</w:t>
            </w:r>
          </w:p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6D6B">
              <w:rPr>
                <w:b/>
                <w:sz w:val="24"/>
                <w:szCs w:val="24"/>
              </w:rPr>
              <w:t xml:space="preserve">Twice </w:t>
            </w:r>
            <w:r>
              <w:rPr>
                <w:b/>
                <w:sz w:val="24"/>
                <w:szCs w:val="24"/>
              </w:rPr>
              <w:t xml:space="preserve">yearly meeting with DEIS support </w:t>
            </w:r>
            <w:r w:rsidRPr="00686D6B">
              <w:rPr>
                <w:b/>
                <w:sz w:val="24"/>
                <w:szCs w:val="24"/>
              </w:rPr>
              <w:t>team to review referral system of target groups.</w:t>
            </w:r>
          </w:p>
          <w:p w:rsidR="00581D58" w:rsidRDefault="00581D58" w:rsidP="00581D58">
            <w:pPr>
              <w:pStyle w:val="ListParagraph"/>
              <w:rPr>
                <w:b/>
                <w:sz w:val="24"/>
                <w:szCs w:val="24"/>
              </w:rPr>
            </w:pPr>
          </w:p>
          <w:p w:rsidR="00581D58" w:rsidRDefault="00581D58" w:rsidP="00D730A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Mentors/Coaches have weekly check-in with at risk students.</w:t>
            </w:r>
          </w:p>
          <w:p w:rsidR="00581D58" w:rsidRDefault="00581D58" w:rsidP="00581D58">
            <w:pPr>
              <w:pStyle w:val="ListParagraph"/>
              <w:rPr>
                <w:b/>
                <w:sz w:val="24"/>
                <w:szCs w:val="24"/>
              </w:rPr>
            </w:pPr>
          </w:p>
          <w:p w:rsidR="00581D58" w:rsidRDefault="00581D58" w:rsidP="00D730A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Mentors/Coaches have bi-monthly focus on progress in relation to goal attainment</w:t>
            </w:r>
          </w:p>
          <w:p w:rsidR="00581D58" w:rsidRDefault="00581D58" w:rsidP="00581D58">
            <w:pPr>
              <w:pStyle w:val="ListParagraph"/>
              <w:rPr>
                <w:b/>
                <w:sz w:val="24"/>
                <w:szCs w:val="24"/>
              </w:rPr>
            </w:pPr>
          </w:p>
          <w:p w:rsidR="00581D58" w:rsidRDefault="00581D58" w:rsidP="00D730A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AP1 oversees Mentor/Coaches and reviews with staff and students once a term</w:t>
            </w:r>
          </w:p>
          <w:p w:rsidR="00D730A3" w:rsidRDefault="00D730A3" w:rsidP="00DB6465">
            <w:pPr>
              <w:ind w:left="720"/>
              <w:rPr>
                <w:b/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686D6B">
              <w:rPr>
                <w:b/>
                <w:sz w:val="24"/>
                <w:szCs w:val="24"/>
              </w:rPr>
              <w:t>arly predictors and the successful use of preventative measures established to prevent causal factors of early school leaving eg poor attendance, literacy difficulties etc</w:t>
            </w:r>
            <w:r>
              <w:rPr>
                <w:b/>
                <w:sz w:val="24"/>
                <w:szCs w:val="24"/>
              </w:rPr>
              <w:t xml:space="preserve"> will be monitored </w:t>
            </w:r>
            <w:r w:rsidRPr="00686D6B">
              <w:rPr>
                <w:b/>
                <w:sz w:val="24"/>
                <w:szCs w:val="24"/>
              </w:rPr>
              <w:t>.</w:t>
            </w:r>
          </w:p>
          <w:p w:rsidR="00D730A3" w:rsidRDefault="00D730A3" w:rsidP="00DB6465">
            <w:pPr>
              <w:pStyle w:val="ListParagraph"/>
              <w:rPr>
                <w:b/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assessment of</w:t>
            </w:r>
            <w:r w:rsidRPr="002E6BFD">
              <w:rPr>
                <w:b/>
                <w:sz w:val="24"/>
                <w:szCs w:val="24"/>
              </w:rPr>
              <w:t xml:space="preserve"> proposed outcomes </w:t>
            </w:r>
            <w:r>
              <w:rPr>
                <w:b/>
                <w:sz w:val="24"/>
                <w:szCs w:val="24"/>
              </w:rPr>
              <w:t xml:space="preserve">to determine </w:t>
            </w:r>
            <w:r w:rsidRPr="002E6BFD">
              <w:rPr>
                <w:b/>
                <w:sz w:val="24"/>
                <w:szCs w:val="24"/>
              </w:rPr>
              <w:t>whether they were met, realistic and purposeful.</w:t>
            </w:r>
          </w:p>
          <w:p w:rsidR="00D730A3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School and SCP TY interventions will be reviewed annually</w:t>
            </w:r>
          </w:p>
          <w:p w:rsidR="00D730A3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686D6B" w:rsidRDefault="00D730A3" w:rsidP="00DB6465">
            <w:pPr>
              <w:ind w:left="720"/>
              <w:rPr>
                <w:b/>
                <w:sz w:val="24"/>
                <w:szCs w:val="24"/>
              </w:rPr>
            </w:pPr>
          </w:p>
          <w:p w:rsidR="00D730A3" w:rsidRDefault="00D730A3" w:rsidP="00DB6465"/>
        </w:tc>
      </w:tr>
      <w:tr w:rsidR="00D730A3" w:rsidTr="00DB6465">
        <w:trPr>
          <w:jc w:val="center"/>
        </w:trPr>
        <w:tc>
          <w:tcPr>
            <w:tcW w:w="156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A3" w:rsidRPr="00686D6B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b/>
                <w:sz w:val="24"/>
                <w:szCs w:val="24"/>
              </w:rPr>
              <w:lastRenderedPageBreak/>
              <w:t>Evaluation:</w:t>
            </w:r>
          </w:p>
          <w:p w:rsidR="00D730A3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>State how impact of actions on RETENTION will be evaluated at the end of the three years.</w:t>
            </w:r>
          </w:p>
          <w:p w:rsidR="00D730A3" w:rsidRDefault="00D730A3" w:rsidP="00DB6465">
            <w:pPr>
              <w:rPr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C4579">
              <w:rPr>
                <w:b/>
                <w:sz w:val="24"/>
                <w:szCs w:val="24"/>
              </w:rPr>
              <w:t>Retention rates will be compared to baseline figures each year.</w:t>
            </w:r>
          </w:p>
          <w:p w:rsidR="00D730A3" w:rsidRPr="003C4579" w:rsidRDefault="00D730A3" w:rsidP="00DB6465">
            <w:pPr>
              <w:ind w:left="720"/>
              <w:rPr>
                <w:b/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C4579">
              <w:rPr>
                <w:b/>
                <w:sz w:val="24"/>
                <w:szCs w:val="24"/>
              </w:rPr>
              <w:t>Targets will be reviewed and restated if deemed necessary</w:t>
            </w:r>
            <w:r>
              <w:rPr>
                <w:sz w:val="24"/>
                <w:szCs w:val="24"/>
              </w:rPr>
              <w:t>.</w:t>
            </w:r>
          </w:p>
          <w:p w:rsidR="00D730A3" w:rsidRPr="00686D6B" w:rsidRDefault="00D730A3" w:rsidP="00DB6465">
            <w:pPr>
              <w:rPr>
                <w:sz w:val="24"/>
                <w:szCs w:val="24"/>
              </w:rPr>
            </w:pPr>
          </w:p>
          <w:p w:rsidR="00D730A3" w:rsidRDefault="00D730A3" w:rsidP="00DB6465">
            <w:pPr>
              <w:rPr>
                <w:sz w:val="24"/>
                <w:szCs w:val="24"/>
              </w:rPr>
            </w:pPr>
            <w:r w:rsidRPr="00686D6B">
              <w:rPr>
                <w:sz w:val="24"/>
                <w:szCs w:val="24"/>
              </w:rPr>
              <w:t>State how progress will be measured, using baseline and targets as a guide.</w:t>
            </w:r>
          </w:p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Targets will be measured yearly.</w:t>
            </w:r>
          </w:p>
          <w:p w:rsidR="00D730A3" w:rsidRDefault="00D730A3" w:rsidP="00DB6465">
            <w:pPr>
              <w:pStyle w:val="ListParagraph"/>
              <w:rPr>
                <w:b/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Transition  year groups will be measured and compared to previous years and patterns identified</w:t>
            </w:r>
            <w:r w:rsidRPr="00686D6B">
              <w:rPr>
                <w:b/>
                <w:sz w:val="24"/>
                <w:szCs w:val="24"/>
              </w:rPr>
              <w:t>.</w:t>
            </w:r>
          </w:p>
          <w:p w:rsidR="00D730A3" w:rsidRDefault="00D730A3" w:rsidP="00DB6465">
            <w:pPr>
              <w:pStyle w:val="ListParagraph"/>
              <w:rPr>
                <w:b/>
                <w:sz w:val="24"/>
                <w:szCs w:val="24"/>
              </w:rPr>
            </w:pPr>
          </w:p>
          <w:p w:rsidR="00D730A3" w:rsidRDefault="00D730A3" w:rsidP="00D730A3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Interventions implemented for students at risk of early school leaving will be reviewed for impact on retention with attendance and non attendance of target group compared for outcomes</w:t>
            </w:r>
            <w:r w:rsidRPr="00686D6B">
              <w:rPr>
                <w:b/>
                <w:sz w:val="24"/>
                <w:szCs w:val="24"/>
              </w:rPr>
              <w:t>.</w:t>
            </w:r>
          </w:p>
          <w:p w:rsidR="00D730A3" w:rsidRDefault="00D730A3" w:rsidP="00DB6465">
            <w:pPr>
              <w:pStyle w:val="ListParagraph"/>
              <w:rPr>
                <w:b/>
                <w:sz w:val="24"/>
                <w:szCs w:val="24"/>
              </w:rPr>
            </w:pPr>
          </w:p>
          <w:p w:rsidR="00D730A3" w:rsidRPr="00E77137" w:rsidRDefault="00D730A3" w:rsidP="00D730A3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77137">
              <w:rPr>
                <w:i/>
                <w:sz w:val="24"/>
                <w:szCs w:val="24"/>
              </w:rPr>
              <w:t>Retention for Junior cycle should increase from</w:t>
            </w:r>
            <w:r>
              <w:rPr>
                <w:i/>
                <w:sz w:val="24"/>
                <w:szCs w:val="24"/>
              </w:rPr>
              <w:t>;</w:t>
            </w:r>
            <w:r w:rsidRPr="00E77137">
              <w:rPr>
                <w:i/>
                <w:sz w:val="24"/>
                <w:szCs w:val="24"/>
              </w:rPr>
              <w:t xml:space="preserve"> 94.2% to </w:t>
            </w:r>
            <w:r w:rsidRPr="00E77137">
              <w:rPr>
                <w:b/>
                <w:i/>
                <w:sz w:val="24"/>
                <w:szCs w:val="24"/>
              </w:rPr>
              <w:t>96%</w:t>
            </w:r>
            <w:r>
              <w:rPr>
                <w:i/>
                <w:sz w:val="24"/>
                <w:szCs w:val="24"/>
              </w:rPr>
              <w:t xml:space="preserve"> in year 1, </w:t>
            </w:r>
            <w:r w:rsidRPr="00E77137">
              <w:rPr>
                <w:b/>
                <w:i/>
                <w:sz w:val="24"/>
                <w:szCs w:val="24"/>
              </w:rPr>
              <w:t>98%</w:t>
            </w:r>
            <w:r>
              <w:rPr>
                <w:i/>
                <w:sz w:val="24"/>
                <w:szCs w:val="24"/>
              </w:rPr>
              <w:t xml:space="preserve"> in year 2, </w:t>
            </w:r>
            <w:r w:rsidRPr="00E77137">
              <w:rPr>
                <w:b/>
                <w:i/>
                <w:sz w:val="24"/>
                <w:szCs w:val="24"/>
              </w:rPr>
              <w:t>100%</w:t>
            </w:r>
            <w:r>
              <w:rPr>
                <w:i/>
                <w:sz w:val="24"/>
                <w:szCs w:val="24"/>
              </w:rPr>
              <w:t xml:space="preserve"> in year 3.</w:t>
            </w:r>
          </w:p>
          <w:p w:rsidR="00D730A3" w:rsidRPr="00E77137" w:rsidRDefault="00D730A3" w:rsidP="00D730A3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77137">
              <w:rPr>
                <w:i/>
                <w:sz w:val="24"/>
                <w:szCs w:val="24"/>
              </w:rPr>
              <w:t>Retention for Senior Cycle should increase from 76.9% t</w:t>
            </w:r>
            <w:r>
              <w:rPr>
                <w:i/>
                <w:sz w:val="24"/>
                <w:szCs w:val="24"/>
              </w:rPr>
              <w:t xml:space="preserve">o </w:t>
            </w:r>
            <w:r w:rsidRPr="00E77137">
              <w:rPr>
                <w:b/>
                <w:i/>
                <w:sz w:val="24"/>
                <w:szCs w:val="24"/>
              </w:rPr>
              <w:t>79%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in year 1, </w:t>
            </w:r>
            <w:r w:rsidRPr="00ED3420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E77137">
              <w:rPr>
                <w:b/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 xml:space="preserve"> in year 2, </w:t>
            </w:r>
            <w:r>
              <w:rPr>
                <w:b/>
                <w:i/>
                <w:sz w:val="24"/>
                <w:szCs w:val="24"/>
              </w:rPr>
              <w:t>87.7</w:t>
            </w:r>
            <w:r w:rsidRPr="00E77137">
              <w:rPr>
                <w:b/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 xml:space="preserve"> in year 3.</w:t>
            </w:r>
          </w:p>
          <w:p w:rsidR="00D730A3" w:rsidRPr="00686D6B" w:rsidRDefault="00D730A3" w:rsidP="00DB6465">
            <w:pPr>
              <w:ind w:left="36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iii)</w:t>
            </w:r>
            <w:r w:rsidRPr="00686D6B">
              <w:rPr>
                <w:i/>
                <w:sz w:val="24"/>
                <w:szCs w:val="24"/>
              </w:rPr>
              <w:t xml:space="preserve">The proportion of students who drop out of school during transition year will reduce from 16% to </w:t>
            </w:r>
            <w:r w:rsidRPr="00E94275">
              <w:rPr>
                <w:b/>
                <w:i/>
                <w:sz w:val="24"/>
                <w:szCs w:val="24"/>
              </w:rPr>
              <w:t>13%</w:t>
            </w:r>
            <w:r>
              <w:rPr>
                <w:i/>
                <w:sz w:val="24"/>
                <w:szCs w:val="24"/>
              </w:rPr>
              <w:t xml:space="preserve"> in year 1, </w:t>
            </w:r>
            <w:r w:rsidRPr="00E94275">
              <w:rPr>
                <w:b/>
                <w:i/>
                <w:sz w:val="24"/>
                <w:szCs w:val="24"/>
              </w:rPr>
              <w:t>9%</w:t>
            </w:r>
            <w:r>
              <w:rPr>
                <w:i/>
                <w:sz w:val="24"/>
                <w:szCs w:val="24"/>
              </w:rPr>
              <w:t xml:space="preserve"> in year 2, </w:t>
            </w:r>
            <w:r w:rsidRPr="00E94275">
              <w:rPr>
                <w:b/>
                <w:i/>
                <w:sz w:val="24"/>
                <w:szCs w:val="24"/>
              </w:rPr>
              <w:t>5%</w:t>
            </w:r>
            <w:r>
              <w:rPr>
                <w:i/>
                <w:sz w:val="24"/>
                <w:szCs w:val="24"/>
              </w:rPr>
              <w:t xml:space="preserve"> in year 3.</w:t>
            </w:r>
          </w:p>
          <w:p w:rsidR="00D730A3" w:rsidRPr="00E77137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Pr="00686D6B" w:rsidRDefault="00D730A3" w:rsidP="00DB6465">
            <w:pPr>
              <w:rPr>
                <w:b/>
                <w:sz w:val="24"/>
                <w:szCs w:val="24"/>
              </w:rPr>
            </w:pPr>
          </w:p>
          <w:p w:rsidR="00D730A3" w:rsidRDefault="00D730A3" w:rsidP="00DB6465"/>
        </w:tc>
      </w:tr>
    </w:tbl>
    <w:p w:rsidR="00094E19" w:rsidRDefault="00224B48"/>
    <w:sectPr w:rsidR="00094E19" w:rsidSect="00D730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48" w:rsidRDefault="00224B48" w:rsidP="00D730A3">
      <w:r>
        <w:separator/>
      </w:r>
    </w:p>
  </w:endnote>
  <w:endnote w:type="continuationSeparator" w:id="0">
    <w:p w:rsidR="00224B48" w:rsidRDefault="00224B48" w:rsidP="00D7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48" w:rsidRDefault="00224B48" w:rsidP="00D730A3">
      <w:r>
        <w:separator/>
      </w:r>
    </w:p>
  </w:footnote>
  <w:footnote w:type="continuationSeparator" w:id="0">
    <w:p w:rsidR="00224B48" w:rsidRDefault="00224B48" w:rsidP="00D730A3">
      <w:r>
        <w:continuationSeparator/>
      </w:r>
    </w:p>
  </w:footnote>
  <w:footnote w:id="1">
    <w:p w:rsidR="00D730A3" w:rsidRDefault="00D730A3" w:rsidP="00D730A3">
      <w:pPr>
        <w:pStyle w:val="FootnoteText"/>
      </w:pPr>
      <w:r w:rsidRPr="000C1F92">
        <w:rPr>
          <w:rStyle w:val="FootnoteReference"/>
        </w:rPr>
        <w:sym w:font="Symbol" w:char="F02A"/>
      </w:r>
      <w:r>
        <w:t xml:space="preserve"> It is possible that a measure may address a number of targets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9CD"/>
    <w:multiLevelType w:val="hybridMultilevel"/>
    <w:tmpl w:val="DA4C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F49"/>
    <w:multiLevelType w:val="hybridMultilevel"/>
    <w:tmpl w:val="2FF8B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7C27"/>
    <w:multiLevelType w:val="hybridMultilevel"/>
    <w:tmpl w:val="39D2B2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ABD"/>
    <w:multiLevelType w:val="hybridMultilevel"/>
    <w:tmpl w:val="FF74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4F9A"/>
    <w:multiLevelType w:val="hybridMultilevel"/>
    <w:tmpl w:val="080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512C0"/>
    <w:multiLevelType w:val="hybridMultilevel"/>
    <w:tmpl w:val="228A6B9E"/>
    <w:lvl w:ilvl="0" w:tplc="5666F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6413"/>
    <w:multiLevelType w:val="hybridMultilevel"/>
    <w:tmpl w:val="946C5934"/>
    <w:lvl w:ilvl="0" w:tplc="9C887B5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A3"/>
    <w:rsid w:val="001B48F1"/>
    <w:rsid w:val="002132D7"/>
    <w:rsid w:val="00224B48"/>
    <w:rsid w:val="00581D58"/>
    <w:rsid w:val="006D4072"/>
    <w:rsid w:val="009F14BA"/>
    <w:rsid w:val="00C2511D"/>
    <w:rsid w:val="00D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7931D-6FC1-4DBE-B130-2086CDF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A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730A3"/>
  </w:style>
  <w:style w:type="character" w:customStyle="1" w:styleId="FootnoteTextChar">
    <w:name w:val="Footnote Text Char"/>
    <w:basedOn w:val="DefaultParagraphFont"/>
    <w:link w:val="FootnoteText"/>
    <w:semiHidden/>
    <w:rsid w:val="00D730A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730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30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Kilian's Community School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2019-03-13T09:26:00Z</dcterms:created>
  <dcterms:modified xsi:type="dcterms:W3CDTF">2019-03-13T09:26:00Z</dcterms:modified>
</cp:coreProperties>
</file>